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Times New Roman" w:asciiTheme="minorEastAsia" w:hAnsiTheme="minorEastAsia"/>
          <w:b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sz w:val="24"/>
          <w:szCs w:val="24"/>
        </w:rPr>
        <w:t>附件1</w:t>
      </w:r>
    </w:p>
    <w:tbl>
      <w:tblPr>
        <w:tblStyle w:val="3"/>
        <w:tblpPr w:leftFromText="180" w:rightFromText="180" w:vertAnchor="text" w:horzAnchor="margin" w:tblpXSpec="center" w:tblpY="196"/>
        <w:tblW w:w="10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6"/>
        <w:gridCol w:w="594"/>
        <w:gridCol w:w="503"/>
        <w:gridCol w:w="551"/>
        <w:gridCol w:w="1109"/>
        <w:gridCol w:w="1115"/>
        <w:gridCol w:w="303"/>
        <w:gridCol w:w="693"/>
        <w:gridCol w:w="283"/>
        <w:gridCol w:w="469"/>
        <w:gridCol w:w="632"/>
        <w:gridCol w:w="81"/>
        <w:gridCol w:w="941"/>
        <w:gridCol w:w="194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98" w:type="dxa"/>
            <w:gridSpan w:val="16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学科竞赛情况说明表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098" w:type="dxa"/>
            <w:gridSpan w:val="16"/>
            <w:noWrap/>
            <w:vAlign w:val="center"/>
          </w:tcPr>
          <w:p>
            <w:pPr>
              <w:widowControl/>
              <w:snapToGrid w:val="0"/>
              <w:ind w:firstLine="5900" w:firstLineChars="2500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学院（盖章）：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竞赛信息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77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7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协办/合作单位</w:t>
            </w:r>
          </w:p>
        </w:tc>
        <w:tc>
          <w:tcPr>
            <w:tcW w:w="77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竞赛级别</w:t>
            </w:r>
          </w:p>
        </w:tc>
        <w:tc>
          <w:tcPr>
            <w:tcW w:w="772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□国际级     □国家级     □省部级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竞赛官网</w:t>
            </w:r>
          </w:p>
        </w:tc>
        <w:tc>
          <w:tcPr>
            <w:tcW w:w="772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面向专业类/学科</w:t>
            </w:r>
          </w:p>
        </w:tc>
        <w:tc>
          <w:tcPr>
            <w:tcW w:w="77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参赛对象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7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□本科生     □研究生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参赛形式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□团队赛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□个人赛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是否有省级选拔赛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□是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是否有校级选拔赛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□是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竞赛指导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□课堂讲授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□实践指导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竞赛举办</w:t>
            </w:r>
          </w:p>
          <w:p>
            <w:pPr>
              <w:widowControl/>
              <w:snapToGrid w:val="0"/>
              <w:ind w:left="385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频次</w:t>
            </w:r>
          </w:p>
        </w:tc>
        <w:tc>
          <w:tcPr>
            <w:tcW w:w="3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708" w:firstLineChars="30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□每年</w:t>
            </w:r>
          </w:p>
          <w:p>
            <w:pPr>
              <w:widowControl/>
              <w:snapToGrid w:val="0"/>
              <w:ind w:firstLine="708" w:firstLineChars="300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□每两年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我校参与或负责组织该项竞赛的主要联系人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学院/部门</w:t>
            </w:r>
          </w:p>
        </w:tc>
        <w:tc>
          <w:tcPr>
            <w:tcW w:w="60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竞赛指导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使用场地</w:t>
            </w:r>
          </w:p>
        </w:tc>
        <w:tc>
          <w:tcPr>
            <w:tcW w:w="60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0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竞赛历程（最近两届）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届数</w:t>
            </w:r>
          </w:p>
        </w:tc>
        <w:tc>
          <w:tcPr>
            <w:tcW w:w="1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决赛承办单位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报名情况</w:t>
            </w:r>
          </w:p>
        </w:tc>
        <w:tc>
          <w:tcPr>
            <w:tcW w:w="3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决赛情况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参赛学校数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报名队数/人数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入围队数/人数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参赛学校数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决赛队数/人数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获奖队数/人数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  届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  届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学校参赛情况（最近两届）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届数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校级初赛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（没有可不填）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省部级复赛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（没有可不填）</w:t>
            </w: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全国总决赛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获得最高奖励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报名队数/人数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获奖队数/人数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参赛队数/人数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获奖队数/人数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决赛队数/人数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获奖队数/人数</w:t>
            </w: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  届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  届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奖项设置及获奖比例</w:t>
            </w:r>
          </w:p>
        </w:tc>
        <w:tc>
          <w:tcPr>
            <w:tcW w:w="88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right="960"/>
              <w:rPr>
                <w:rFonts w:cs="Times New Roman" w:asciiTheme="minorEastAsia" w:hAnsiTheme="minorEastAsia"/>
                <w:color w:val="A6A6A6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A6A6A6"/>
                <w:kern w:val="0"/>
                <w:sz w:val="24"/>
                <w:szCs w:val="24"/>
              </w:rPr>
              <w:t>例：特等奖1项（获奖比例0.2%）、一等奖50项（获奖比例10%）、二等奖100项（获奖比例20%）、三等奖200项（获奖比例40%）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与同领域的竞赛相比，请说明该竞赛的特点和影响力</w:t>
            </w:r>
          </w:p>
        </w:tc>
        <w:tc>
          <w:tcPr>
            <w:tcW w:w="88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8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竞赛指导学院教学院长（签字）：             </w:t>
            </w:r>
          </w:p>
          <w:p>
            <w:pPr>
              <w:widowControl/>
              <w:snapToGrid w:val="0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color w:val="000000"/>
          <w:sz w:val="24"/>
          <w:szCs w:val="24"/>
        </w:rPr>
      </w:pPr>
    </w:p>
    <w:p>
      <w:pPr>
        <w:widowControl/>
        <w:jc w:val="left"/>
        <w:rPr>
          <w:rFonts w:cs="Times New Roman" w:asciiTheme="minorEastAsia" w:hAnsiTheme="minorEastAsia"/>
          <w:color w:val="000000"/>
          <w:sz w:val="24"/>
          <w:szCs w:val="2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sz w:val="24"/>
          <w:szCs w:val="24"/>
        </w:rPr>
        <w:t>附件2</w:t>
      </w:r>
    </w:p>
    <w:p>
      <w:pPr>
        <w:rPr>
          <w:rFonts w:cs="Times New Roman" w:asciiTheme="minorEastAsia" w:hAnsiTheme="minorEastAsia"/>
          <w:sz w:val="24"/>
          <w:szCs w:val="24"/>
        </w:rPr>
        <w:sectPr>
          <w:pgSz w:w="11907" w:h="16840"/>
          <w:pgMar w:top="1985" w:right="1474" w:bottom="1985" w:left="1588" w:header="1418" w:footer="1486" w:gutter="0"/>
          <w:cols w:space="425" w:num="1"/>
          <w:docGrid w:type="linesAndChars" w:linePitch="579" w:charSpace="-842"/>
        </w:sectPr>
      </w:pPr>
      <w:r>
        <w:rPr>
          <w:rFonts w:cs="Times New Roman" w:asciiTheme="minorEastAsia" w:hAnsiTheme="minorEastAsia"/>
          <w:sz w:val="24"/>
          <w:szCs w:val="24"/>
        </w:rPr>
        <w:object>
          <v:shape id="_x0000_i1025" o:spt="75" type="#_x0000_t75" style="height:553.9pt;width:442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cs="Times New Roman" w:asciiTheme="minorEastAsia" w:hAnsiTheme="minorEastAsia"/>
          <w:b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sz w:val="24"/>
          <w:szCs w:val="24"/>
        </w:rPr>
        <w:t>附件3</w:t>
      </w:r>
    </w:p>
    <w:p>
      <w:pPr>
        <w:snapToGrid w:val="0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widowControl/>
        <w:spacing w:after="62" w:afterLines="20"/>
        <w:jc w:val="center"/>
        <w:rPr>
          <w:rFonts w:ascii="Times New Roman" w:hAnsi="Times New Roman" w:eastAsia="方正小标宋简体" w:cs="Times New Roman"/>
          <w:sz w:val="36"/>
          <w:szCs w:val="21"/>
        </w:rPr>
      </w:pPr>
      <w:r>
        <w:rPr>
          <w:rFonts w:hint="eastAsia" w:ascii="Times New Roman" w:hAnsi="Times New Roman" w:eastAsia="方正小标宋简体" w:cs="Times New Roman"/>
          <w:sz w:val="36"/>
          <w:szCs w:val="21"/>
        </w:rPr>
        <w:t>北京理工大学2</w:t>
      </w:r>
      <w:r>
        <w:rPr>
          <w:rFonts w:ascii="Times New Roman" w:hAnsi="Times New Roman" w:eastAsia="方正小标宋简体" w:cs="Times New Roman"/>
          <w:sz w:val="36"/>
          <w:szCs w:val="21"/>
        </w:rPr>
        <w:t>021</w:t>
      </w:r>
      <w:r>
        <w:rPr>
          <w:rFonts w:hint="eastAsia" w:ascii="Times New Roman" w:hAnsi="Times New Roman" w:eastAsia="方正小标宋简体" w:cs="Times New Roman"/>
          <w:sz w:val="36"/>
          <w:szCs w:val="21"/>
        </w:rPr>
        <w:t>年推荐优秀应届本科毕业生免试攻读研究生承诺书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本人知晓并理解北京理工大学2021年推荐优秀应届本科毕业生免试攻读研究生（以下简称“推免”）工作的有关规定，经过认真考虑，现郑重承诺：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在申请并获得北京理工大学2021年推免资格，并已与报考院校确定录取后，本人不再参加统考、就业、出国留学等可能影响学校推免工作的活动，并在指定时间内到推免接收单位进行研究生入学报到。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若本人违反上述承诺，本人同意学校将此不诚信行为记录在本人档案中，并可向本人就业单位或国内外就读学校告知相关情况。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本人知晓：若本人违反上述承诺，不仅会使学校损失当年推免名额，而且将会给本人所在学院带来来年推免名额削减的事实。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本承诺书一式三份，学校、承诺人所在学院、承诺人本人各执一份。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21"/>
        </w:rPr>
      </w:pPr>
    </w:p>
    <w:p>
      <w:pPr>
        <w:wordWrap w:val="0"/>
        <w:spacing w:after="156" w:afterLines="50" w:line="520" w:lineRule="exact"/>
        <w:jc w:val="right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 xml:space="preserve">承诺人（签字）： </w:t>
      </w:r>
      <w:r>
        <w:rPr>
          <w:rFonts w:ascii="仿宋" w:hAnsi="仿宋" w:eastAsia="仿宋" w:cs="Times New Roman"/>
          <w:sz w:val="32"/>
          <w:szCs w:val="21"/>
        </w:rPr>
        <w:t xml:space="preserve">                </w:t>
      </w:r>
    </w:p>
    <w:p>
      <w:pPr>
        <w:spacing w:line="520" w:lineRule="exact"/>
        <w:jc w:val="right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日期：</w:t>
      </w:r>
      <w:r>
        <w:rPr>
          <w:rFonts w:ascii="仿宋" w:hAnsi="仿宋" w:eastAsia="仿宋" w:cs="Times New Roman"/>
          <w:sz w:val="32"/>
          <w:szCs w:val="21"/>
        </w:rPr>
        <w:t>2020</w:t>
      </w:r>
      <w:r>
        <w:rPr>
          <w:rFonts w:hint="eastAsia" w:ascii="仿宋" w:hAnsi="仿宋" w:eastAsia="仿宋" w:cs="Times New Roman"/>
          <w:sz w:val="32"/>
          <w:szCs w:val="21"/>
        </w:rPr>
        <w:t>年</w:t>
      </w:r>
      <w:r>
        <w:rPr>
          <w:rFonts w:ascii="仿宋" w:hAnsi="仿宋" w:eastAsia="仿宋" w:cs="Times New Roman"/>
          <w:sz w:val="32"/>
          <w:szCs w:val="21"/>
        </w:rPr>
        <w:t xml:space="preserve">   </w:t>
      </w:r>
      <w:r>
        <w:rPr>
          <w:rFonts w:hint="eastAsia" w:ascii="仿宋" w:hAnsi="仿宋" w:eastAsia="仿宋" w:cs="Times New Roman"/>
          <w:sz w:val="32"/>
          <w:szCs w:val="21"/>
        </w:rPr>
        <w:t xml:space="preserve">月 </w:t>
      </w:r>
      <w:r>
        <w:rPr>
          <w:rFonts w:ascii="仿宋" w:hAnsi="仿宋" w:eastAsia="仿宋" w:cs="Times New Roman"/>
          <w:sz w:val="32"/>
          <w:szCs w:val="21"/>
        </w:rPr>
        <w:t xml:space="preserve">  </w:t>
      </w:r>
      <w:r>
        <w:rPr>
          <w:rFonts w:hint="eastAsia" w:ascii="仿宋" w:hAnsi="仿宋" w:eastAsia="仿宋" w:cs="Times New Roman"/>
          <w:sz w:val="32"/>
          <w:szCs w:val="21"/>
        </w:rPr>
        <w:t>日</w:t>
      </w:r>
    </w:p>
    <w:p>
      <w:pPr>
        <w:spacing w:line="520" w:lineRule="exact"/>
        <w:jc w:val="right"/>
        <w:rPr>
          <w:rFonts w:ascii="仿宋" w:hAnsi="仿宋" w:eastAsia="仿宋" w:cs="Times New Roman"/>
          <w:sz w:val="32"/>
          <w:szCs w:val="21"/>
        </w:rPr>
      </w:pPr>
    </w:p>
    <w:p>
      <w:pPr>
        <w:spacing w:line="520" w:lineRule="exact"/>
        <w:jc w:val="right"/>
        <w:rPr>
          <w:rFonts w:ascii="仿宋" w:hAnsi="仿宋" w:eastAsia="仿宋" w:cs="Times New Roman"/>
          <w:sz w:val="32"/>
          <w:szCs w:val="21"/>
        </w:rPr>
      </w:pPr>
    </w:p>
    <w:p>
      <w:pPr>
        <w:spacing w:line="520" w:lineRule="exact"/>
        <w:jc w:val="right"/>
        <w:rPr>
          <w:rFonts w:ascii="仿宋" w:hAnsi="仿宋" w:eastAsia="仿宋" w:cs="Times New Roman"/>
          <w:sz w:val="32"/>
          <w:szCs w:val="21"/>
        </w:rPr>
      </w:pPr>
    </w:p>
    <w:p>
      <w:pPr>
        <w:widowControl/>
        <w:snapToGrid w:val="0"/>
        <w:jc w:val="left"/>
        <w:rPr>
          <w:rFonts w:cs="Times New Roman" w:asciiTheme="minorEastAsia" w:hAnsiTheme="minorEastAsia"/>
          <w:b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sz w:val="24"/>
          <w:szCs w:val="24"/>
        </w:rPr>
        <w:t>附件4</w:t>
      </w:r>
    </w:p>
    <w:p>
      <w:pPr>
        <w:widowControl/>
        <w:spacing w:after="62" w:afterLines="20"/>
        <w:jc w:val="center"/>
        <w:rPr>
          <w:rFonts w:ascii="Times New Roman" w:hAnsi="Times New Roman" w:eastAsia="方正小标宋简体" w:cs="Times New Roman"/>
          <w:sz w:val="36"/>
          <w:szCs w:val="21"/>
        </w:rPr>
      </w:pPr>
      <w:r>
        <w:rPr>
          <w:rFonts w:hint="eastAsia" w:ascii="Times New Roman" w:hAnsi="Times New Roman" w:eastAsia="方正小标宋简体" w:cs="Times New Roman"/>
          <w:sz w:val="36"/>
          <w:szCs w:val="21"/>
        </w:rPr>
        <w:t>学校咨询及申诉渠道</w:t>
      </w:r>
    </w:p>
    <w:p>
      <w:pPr>
        <w:snapToGrid w:val="0"/>
        <w:ind w:firstLine="753" w:firstLineChars="250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snapToGrid w:val="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校推荐工作咨询部门：教务部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电子邮箱：chenhao618@bit.edu.cn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电    话：68918198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通讯地址：北京海淀区中关村南大街5号  北京理工大学教务部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邮    编：100081</w:t>
      </w:r>
    </w:p>
    <w:p>
      <w:pPr>
        <w:snapToGrid w:val="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校接收工作咨询部门：研究生院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电子邮箱：yjszb@bit.edu.cn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电    话：68912286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  <w:spacing w:val="-10"/>
        </w:rPr>
      </w:pPr>
      <w:r>
        <w:rPr>
          <w:rFonts w:ascii="Times New Roman" w:hAnsi="Times New Roman" w:eastAsia="仿宋_GB2312" w:cs="Times New Roman"/>
        </w:rPr>
        <w:t>通讯地址：</w:t>
      </w:r>
      <w:r>
        <w:rPr>
          <w:rFonts w:ascii="Times New Roman" w:hAnsi="Times New Roman" w:eastAsia="仿宋_GB2312" w:cs="Times New Roman"/>
          <w:spacing w:val="-2"/>
        </w:rPr>
        <w:t>北京海淀区中关村南大街5号  北京理工大学研究生院招生办公室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邮    编：100081</w:t>
      </w:r>
    </w:p>
    <w:p>
      <w:pPr>
        <w:snapToGrid w:val="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校推荐接收申诉举报部门：纪委 监察室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电子邮箱：</w:t>
      </w:r>
      <w:r>
        <w:fldChar w:fldCharType="begin"/>
      </w:r>
      <w:r>
        <w:instrText xml:space="preserve"> HYPERLINK "mailto:jwjc311@bit.edu.cn" </w:instrText>
      </w:r>
      <w:r>
        <w:fldChar w:fldCharType="separate"/>
      </w:r>
      <w:r>
        <w:rPr>
          <w:rFonts w:ascii="Times New Roman" w:hAnsi="Times New Roman" w:eastAsia="仿宋_GB2312" w:cs="Times New Roman"/>
        </w:rPr>
        <w:t>jwjc311@bit.edu.cn</w: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电    话：68918076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通讯地址：北京海淀区中关村南大街5号 北京理工大学纪委监察室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邮    编：100081</w:t>
      </w:r>
    </w:p>
    <w:p>
      <w:pPr>
        <w:snapToGrid w:val="0"/>
        <w:ind w:firstLine="2100" w:firstLineChars="1000"/>
        <w:rPr>
          <w:rFonts w:ascii="Calibri" w:hAnsi="Calibri" w:eastAsia="宋体" w:cs="Times New Roman"/>
        </w:rPr>
      </w:pPr>
    </w:p>
    <w:p>
      <w:pPr>
        <w:snapToGrid w:val="0"/>
        <w:ind w:firstLine="600" w:firstLineChars="250"/>
        <w:rPr>
          <w:rFonts w:cs="Times New Roman" w:asciiTheme="minorEastAsia" w:hAnsiTheme="minorEastAsia"/>
          <w:sz w:val="24"/>
          <w:szCs w:val="24"/>
        </w:rPr>
      </w:pPr>
    </w:p>
    <w:p>
      <w:pPr>
        <w:widowControl/>
        <w:jc w:val="center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法学院咨询及申诉渠道</w:t>
      </w:r>
    </w:p>
    <w:p>
      <w:pPr>
        <w:snapToGrid w:val="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法学院推荐工作成绩排名咨询：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负责人：曾佳佳老师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电子邮箱： </w:t>
      </w:r>
      <w:r>
        <w:fldChar w:fldCharType="begin"/>
      </w:r>
      <w:r>
        <w:instrText xml:space="preserve"> HYPERLINK "mailto:zengjiajia@bit.edu.cn" </w:instrText>
      </w:r>
      <w:r>
        <w:fldChar w:fldCharType="separate"/>
      </w:r>
      <w:r>
        <w:rPr>
          <w:rStyle w:val="5"/>
          <w:rFonts w:hint="eastAsia" w:ascii="Times New Roman" w:hAnsi="Times New Roman" w:eastAsia="仿宋_GB2312" w:cs="Times New Roman"/>
          <w:color w:val="auto"/>
          <w:u w:val="none"/>
        </w:rPr>
        <w:t>zengjiajia</w:t>
      </w:r>
      <w:r>
        <w:rPr>
          <w:rStyle w:val="5"/>
          <w:rFonts w:ascii="Times New Roman" w:hAnsi="Times New Roman" w:eastAsia="仿宋_GB2312" w:cs="Times New Roman"/>
          <w:color w:val="auto"/>
          <w:u w:val="none"/>
        </w:rPr>
        <w:t>@bit.edu.cn</w:t>
      </w:r>
      <w:r>
        <w:rPr>
          <w:rStyle w:val="5"/>
          <w:rFonts w:ascii="Times New Roman" w:hAnsi="Times New Roman" w:eastAsia="仿宋_GB2312" w:cs="Times New Roman"/>
          <w:color w:val="auto"/>
          <w:u w:val="none"/>
        </w:rPr>
        <w:fldChar w:fldCharType="end"/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电话：68911140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通讯地址：北京市海淀区中关村南大街5号北京理工大学法学院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邮编：100081 </w:t>
      </w:r>
    </w:p>
    <w:p>
      <w:pPr>
        <w:snapToGrid w:val="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法学院推荐工作综合素质排名咨询：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负责人：郭佳琛老师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电子邮箱：</w:t>
      </w:r>
      <w:r>
        <w:fldChar w:fldCharType="begin"/>
      </w:r>
      <w:r>
        <w:instrText xml:space="preserve"> HYPERLINK "mailto:faxueyuan1217@163.com" </w:instrText>
      </w:r>
      <w:r>
        <w:fldChar w:fldCharType="separate"/>
      </w:r>
      <w:r>
        <w:rPr>
          <w:rStyle w:val="5"/>
          <w:rFonts w:hint="eastAsia" w:ascii="Times New Roman" w:hAnsi="Times New Roman" w:eastAsia="仿宋_GB2312" w:cs="Times New Roman"/>
          <w:color w:val="auto"/>
          <w:u w:val="none"/>
        </w:rPr>
        <w:t>faxueyuan1217@163.com</w:t>
      </w:r>
      <w:r>
        <w:rPr>
          <w:rStyle w:val="5"/>
          <w:rFonts w:hint="eastAsia" w:ascii="Times New Roman" w:hAnsi="Times New Roman" w:eastAsia="仿宋_GB2312" w:cs="Times New Roman"/>
          <w:color w:val="auto"/>
          <w:u w:val="none"/>
        </w:rPr>
        <w:fldChar w:fldCharType="end"/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电话：68918082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通讯地址：北京市海淀区中关村南大街5号北京理工大学法学院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邮编：100081</w:t>
      </w:r>
    </w:p>
    <w:p>
      <w:pPr>
        <w:snapToGrid w:val="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法学院推荐工作申诉渠道：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负责人：郭德忠副院长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电子邮箱：</w:t>
      </w:r>
      <w:r>
        <w:fldChar w:fldCharType="begin"/>
      </w:r>
      <w:r>
        <w:instrText xml:space="preserve"> HYPERLINK "mailto:guodezhong@163.com" </w:instrText>
      </w:r>
      <w:r>
        <w:fldChar w:fldCharType="separate"/>
      </w:r>
      <w:r>
        <w:rPr>
          <w:rStyle w:val="5"/>
          <w:rFonts w:ascii="Times New Roman" w:hAnsi="Times New Roman" w:eastAsia="仿宋_GB2312" w:cs="Times New Roman"/>
          <w:color w:val="auto"/>
          <w:u w:val="none"/>
        </w:rPr>
        <w:t>guodezhong</w:t>
      </w:r>
      <w:r>
        <w:rPr>
          <w:rStyle w:val="5"/>
          <w:rFonts w:hint="eastAsia" w:ascii="Times New Roman" w:hAnsi="Times New Roman" w:eastAsia="仿宋_GB2312" w:cs="Times New Roman"/>
          <w:color w:val="auto"/>
          <w:u w:val="none"/>
        </w:rPr>
        <w:t>@163.com</w:t>
      </w:r>
      <w:r>
        <w:rPr>
          <w:rStyle w:val="5"/>
          <w:rFonts w:hint="eastAsia" w:ascii="Times New Roman" w:hAnsi="Times New Roman" w:eastAsia="仿宋_GB2312" w:cs="Times New Roman"/>
          <w:color w:val="auto"/>
          <w:u w:val="none"/>
        </w:rPr>
        <w:fldChar w:fldCharType="end"/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电话：6891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3</w:t>
      </w:r>
      <w:r>
        <w:rPr>
          <w:rFonts w:ascii="Times New Roman" w:hAnsi="Times New Roman" w:eastAsia="仿宋_GB2312" w:cs="Times New Roman"/>
        </w:rPr>
        <w:t>77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通讯地址：北京市海淀区中关村南大街5号北京理工大学法学院</w:t>
      </w:r>
    </w:p>
    <w:p>
      <w:pPr>
        <w:snapToGrid w:val="0"/>
        <w:ind w:firstLine="2100" w:firstLineChars="10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邮编：100081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65F67"/>
    <w:rsid w:val="137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2020-09-23T02:21:00Z</dcterms:created>
  <dc:creator>zjj_olivia</dc:creator>
  <cp:lastModifiedBy>zjj_olivia</cp:lastModifiedBy>
  <dcterms:modified xsi:type="dcterms:W3CDTF">2020-09-23T02:22:18Z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